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72429" w14:textId="557BD473" w:rsidR="00A149B7" w:rsidRDefault="002E5AEE">
      <w:pPr>
        <w:jc w:val="center"/>
        <w:rPr>
          <w:rFonts w:ascii="Calibri" w:eastAsia="Calibri" w:hAnsi="Calibri" w:cs="Calibri"/>
          <w:b/>
          <w:sz w:val="24"/>
          <w:szCs w:val="24"/>
        </w:rPr>
      </w:pPr>
      <w:r w:rsidRPr="002E5AEE">
        <w:rPr>
          <w:rFonts w:ascii="Calibri" w:eastAsia="Calibri" w:hAnsi="Calibri" w:cs="Calibri"/>
          <w:b/>
          <w:sz w:val="24"/>
          <w:szCs w:val="24"/>
        </w:rPr>
        <w:t>Energy Health impact Calculato</w:t>
      </w:r>
      <w:r w:rsidR="00FC4450">
        <w:rPr>
          <w:rFonts w:ascii="Calibri" w:eastAsia="Calibri" w:hAnsi="Calibri" w:cs="Calibri"/>
          <w:b/>
          <w:sz w:val="24"/>
          <w:szCs w:val="24"/>
        </w:rPr>
        <w:t>r</w:t>
      </w:r>
      <w:bookmarkStart w:id="0" w:name="_GoBack"/>
      <w:bookmarkEnd w:id="0"/>
      <w:r w:rsidRPr="002E5AEE">
        <w:rPr>
          <w:rFonts w:ascii="Calibri" w:eastAsia="Calibri" w:hAnsi="Calibri" w:cs="Calibri"/>
          <w:b/>
          <w:sz w:val="24"/>
          <w:szCs w:val="24"/>
          <w:highlight w:val="yellow"/>
        </w:rPr>
        <w:t xml:space="preserve"> </w:t>
      </w:r>
      <w:r w:rsidR="00FC4450">
        <w:rPr>
          <w:rFonts w:ascii="Calibri" w:eastAsia="Calibri" w:hAnsi="Calibri" w:cs="Calibri"/>
          <w:b/>
          <w:sz w:val="24"/>
          <w:szCs w:val="24"/>
          <w:highlight w:val="yellow"/>
        </w:rPr>
        <w:t>XX</w:t>
      </w:r>
      <w:r w:rsidR="00FC4450">
        <w:rPr>
          <w:rFonts w:ascii="Calibri" w:eastAsia="Calibri" w:hAnsi="Calibri" w:cs="Calibri"/>
          <w:b/>
          <w:sz w:val="24"/>
          <w:szCs w:val="24"/>
        </w:rPr>
        <w:t xml:space="preserve"> Hospital: Energy and health </w:t>
      </w:r>
    </w:p>
    <w:p w14:paraId="40030612" w14:textId="77777777" w:rsidR="00A149B7" w:rsidRDefault="00FC4450">
      <w:pPr>
        <w:rPr>
          <w:rFonts w:ascii="Calibri" w:eastAsia="Calibri" w:hAnsi="Calibri" w:cs="Calibri"/>
          <w:highlight w:val="yellow"/>
        </w:rPr>
      </w:pPr>
      <w:r>
        <w:rPr>
          <w:rFonts w:ascii="Calibri" w:eastAsia="Calibri" w:hAnsi="Calibri" w:cs="Calibri"/>
          <w:b/>
        </w:rPr>
        <w:t xml:space="preserve">Why energy and health: </w:t>
      </w:r>
      <w:r>
        <w:rPr>
          <w:rFonts w:ascii="Calibri" w:eastAsia="Calibri" w:hAnsi="Calibri" w:cs="Calibri"/>
          <w:highlight w:val="yellow"/>
        </w:rPr>
        <w:t xml:space="preserve"> Statistics to pull for various audiences - delete what you don’t need, and/or add locally relevant information/examples:</w:t>
      </w:r>
    </w:p>
    <w:p w14:paraId="4F0CBDD3" w14:textId="77777777" w:rsidR="00A149B7" w:rsidRDefault="00FC4450">
      <w:pPr>
        <w:rPr>
          <w:rFonts w:ascii="Calibri" w:eastAsia="Calibri" w:hAnsi="Calibri" w:cs="Calibri"/>
          <w:b/>
        </w:rPr>
      </w:pPr>
      <w:r>
        <w:rPr>
          <w:rFonts w:ascii="Calibri" w:eastAsia="Calibri" w:hAnsi="Calibri" w:cs="Calibri"/>
          <w:highlight w:val="yellow"/>
        </w:rPr>
        <w:br/>
      </w:r>
      <w:r>
        <w:rPr>
          <w:rFonts w:ascii="Calibri" w:eastAsia="Calibri" w:hAnsi="Calibri" w:cs="Calibri"/>
          <w:b/>
        </w:rPr>
        <w:t>Energy and health care:</w:t>
      </w:r>
    </w:p>
    <w:p w14:paraId="36DB26F6" w14:textId="77777777" w:rsidR="00A149B7" w:rsidRDefault="00FC4450">
      <w:pPr>
        <w:numPr>
          <w:ilvl w:val="0"/>
          <w:numId w:val="4"/>
        </w:numPr>
        <w:rPr>
          <w:rFonts w:ascii="Calibri" w:eastAsia="Calibri" w:hAnsi="Calibri" w:cs="Calibri"/>
          <w:sz w:val="20"/>
          <w:szCs w:val="20"/>
        </w:rPr>
      </w:pPr>
      <w:r>
        <w:rPr>
          <w:rFonts w:ascii="Calibri" w:eastAsia="Calibri" w:hAnsi="Calibri" w:cs="Calibri"/>
          <w:sz w:val="20"/>
          <w:szCs w:val="20"/>
        </w:rPr>
        <w:t xml:space="preserve">Hospitals are highly energy-intensive, using </w:t>
      </w:r>
      <w:hyperlink r:id="rId5">
        <w:r>
          <w:rPr>
            <w:rFonts w:ascii="Calibri" w:eastAsia="Calibri" w:hAnsi="Calibri" w:cs="Calibri"/>
            <w:color w:val="1155CC"/>
            <w:sz w:val="20"/>
            <w:szCs w:val="20"/>
            <w:u w:val="single"/>
          </w:rPr>
          <w:t>2.5 times</w:t>
        </w:r>
      </w:hyperlink>
      <w:r>
        <w:rPr>
          <w:rFonts w:ascii="Calibri" w:eastAsia="Calibri" w:hAnsi="Calibri" w:cs="Calibri"/>
          <w:sz w:val="20"/>
          <w:szCs w:val="20"/>
        </w:rPr>
        <w:t xml:space="preserve"> more ener</w:t>
      </w:r>
      <w:r>
        <w:rPr>
          <w:rFonts w:ascii="Calibri" w:eastAsia="Calibri" w:hAnsi="Calibri" w:cs="Calibri"/>
          <w:color w:val="222222"/>
          <w:sz w:val="20"/>
          <w:szCs w:val="20"/>
        </w:rPr>
        <w:t>gy per square foot th</w:t>
      </w:r>
      <w:r>
        <w:rPr>
          <w:rFonts w:ascii="Calibri" w:eastAsia="Calibri" w:hAnsi="Calibri" w:cs="Calibri"/>
          <w:sz w:val="20"/>
          <w:szCs w:val="20"/>
        </w:rPr>
        <w:t xml:space="preserve">an an office building of the same size.  </w:t>
      </w:r>
    </w:p>
    <w:p w14:paraId="10728702" w14:textId="77777777" w:rsidR="00A149B7" w:rsidRDefault="00FC4450">
      <w:pPr>
        <w:numPr>
          <w:ilvl w:val="0"/>
          <w:numId w:val="4"/>
        </w:numPr>
        <w:rPr>
          <w:rFonts w:ascii="Calibri" w:eastAsia="Calibri" w:hAnsi="Calibri" w:cs="Calibri"/>
          <w:sz w:val="20"/>
          <w:szCs w:val="20"/>
        </w:rPr>
      </w:pPr>
      <w:r>
        <w:rPr>
          <w:rFonts w:ascii="Calibri" w:eastAsia="Calibri" w:hAnsi="Calibri" w:cs="Calibri"/>
          <w:sz w:val="20"/>
          <w:szCs w:val="20"/>
        </w:rPr>
        <w:t xml:space="preserve">The U.S. health care sector spends over </w:t>
      </w:r>
      <w:hyperlink r:id="rId6">
        <w:r>
          <w:rPr>
            <w:rFonts w:ascii="Calibri" w:eastAsia="Calibri" w:hAnsi="Calibri" w:cs="Calibri"/>
            <w:color w:val="1155CC"/>
            <w:sz w:val="20"/>
            <w:szCs w:val="20"/>
            <w:u w:val="single"/>
          </w:rPr>
          <w:t>$9.5 billion</w:t>
        </w:r>
      </w:hyperlink>
      <w:r>
        <w:rPr>
          <w:rFonts w:ascii="Calibri" w:eastAsia="Calibri" w:hAnsi="Calibri" w:cs="Calibri"/>
          <w:sz w:val="20"/>
          <w:szCs w:val="20"/>
        </w:rPr>
        <w:t xml:space="preserve"> on energy each year. </w:t>
      </w:r>
    </w:p>
    <w:p w14:paraId="14B210D3" w14:textId="77777777" w:rsidR="00A149B7" w:rsidRDefault="00FC4450">
      <w:pPr>
        <w:numPr>
          <w:ilvl w:val="0"/>
          <w:numId w:val="4"/>
        </w:numPr>
        <w:rPr>
          <w:rFonts w:ascii="Calibri" w:eastAsia="Calibri" w:hAnsi="Calibri" w:cs="Calibri"/>
          <w:sz w:val="20"/>
          <w:szCs w:val="20"/>
        </w:rPr>
      </w:pPr>
      <w:r>
        <w:rPr>
          <w:rFonts w:ascii="Calibri" w:eastAsia="Calibri" w:hAnsi="Calibri" w:cs="Calibri"/>
          <w:sz w:val="20"/>
          <w:szCs w:val="20"/>
        </w:rPr>
        <w:t xml:space="preserve">At a 5% operating margin, every $1 a nonprofit health care organization saves on energy is equivalent to generating </w:t>
      </w:r>
      <w:hyperlink r:id="rId7">
        <w:r>
          <w:rPr>
            <w:rFonts w:ascii="Calibri" w:eastAsia="Calibri" w:hAnsi="Calibri" w:cs="Calibri"/>
            <w:color w:val="1155CC"/>
            <w:sz w:val="20"/>
            <w:szCs w:val="20"/>
            <w:u w:val="single"/>
          </w:rPr>
          <w:t>$20 in new patient revenue</w:t>
        </w:r>
      </w:hyperlink>
      <w:r>
        <w:rPr>
          <w:rFonts w:ascii="Calibri" w:eastAsia="Calibri" w:hAnsi="Calibri" w:cs="Calibri"/>
          <w:sz w:val="20"/>
          <w:szCs w:val="20"/>
        </w:rPr>
        <w:t xml:space="preserve">. </w:t>
      </w:r>
    </w:p>
    <w:p w14:paraId="0E3C31DE" w14:textId="77777777" w:rsidR="00A149B7" w:rsidRDefault="00A149B7">
      <w:pPr>
        <w:ind w:left="720"/>
        <w:rPr>
          <w:rFonts w:ascii="Calibri" w:eastAsia="Calibri" w:hAnsi="Calibri" w:cs="Calibri"/>
          <w:sz w:val="20"/>
          <w:szCs w:val="20"/>
        </w:rPr>
      </w:pPr>
    </w:p>
    <w:p w14:paraId="3651C281" w14:textId="77777777" w:rsidR="00A149B7" w:rsidRDefault="00FC4450">
      <w:pPr>
        <w:rPr>
          <w:rFonts w:ascii="Calibri" w:eastAsia="Calibri" w:hAnsi="Calibri" w:cs="Calibri"/>
          <w:b/>
        </w:rPr>
      </w:pPr>
      <w:r>
        <w:rPr>
          <w:rFonts w:ascii="Calibri" w:eastAsia="Calibri" w:hAnsi="Calibri" w:cs="Calibri"/>
          <w:b/>
        </w:rPr>
        <w:t>Energy and health:</w:t>
      </w:r>
    </w:p>
    <w:p w14:paraId="799F92D2" w14:textId="77777777" w:rsidR="00A149B7" w:rsidRDefault="00FC4450">
      <w:pPr>
        <w:rPr>
          <w:rFonts w:ascii="Calibri" w:eastAsia="Calibri" w:hAnsi="Calibri" w:cs="Calibri"/>
          <w:sz w:val="20"/>
          <w:szCs w:val="20"/>
        </w:rPr>
      </w:pPr>
      <w:r>
        <w:rPr>
          <w:rFonts w:ascii="Calibri" w:eastAsia="Calibri" w:hAnsi="Calibri" w:cs="Calibri"/>
          <w:sz w:val="20"/>
          <w:szCs w:val="20"/>
        </w:rPr>
        <w:t>Emissions from fossil fuels are linked with respiratory problems, neurological damage, heart attacks, cancer, premature death, and other serious health problems. These health impacts are not distributed equally, with vulnerable populations experiencing dis</w:t>
      </w:r>
      <w:r>
        <w:rPr>
          <w:rFonts w:ascii="Calibri" w:eastAsia="Calibri" w:hAnsi="Calibri" w:cs="Calibri"/>
          <w:sz w:val="20"/>
          <w:szCs w:val="20"/>
        </w:rPr>
        <w:t xml:space="preserve">proportionate effects from pollution and climate change. Transitioning to clean, renewable energy in the </w:t>
      </w:r>
      <w:hyperlink r:id="rId8">
        <w:r>
          <w:rPr>
            <w:rFonts w:ascii="Calibri" w:eastAsia="Calibri" w:hAnsi="Calibri" w:cs="Calibri"/>
            <w:color w:val="1155CC"/>
            <w:sz w:val="20"/>
            <w:szCs w:val="20"/>
            <w:u w:val="single"/>
          </w:rPr>
          <w:t>U.S. could</w:t>
        </w:r>
      </w:hyperlink>
      <w:r>
        <w:rPr>
          <w:rFonts w:ascii="Calibri" w:eastAsia="Calibri" w:hAnsi="Calibri" w:cs="Calibri"/>
          <w:sz w:val="20"/>
          <w:szCs w:val="20"/>
        </w:rPr>
        <w:t>:</w:t>
      </w:r>
    </w:p>
    <w:p w14:paraId="79D078D3" w14:textId="77777777" w:rsidR="00A149B7" w:rsidRDefault="00FC4450">
      <w:pPr>
        <w:numPr>
          <w:ilvl w:val="0"/>
          <w:numId w:val="3"/>
        </w:numPr>
        <w:rPr>
          <w:rFonts w:ascii="Calibri" w:eastAsia="Calibri" w:hAnsi="Calibri" w:cs="Calibri"/>
          <w:sz w:val="20"/>
          <w:szCs w:val="20"/>
        </w:rPr>
      </w:pPr>
      <w:r>
        <w:rPr>
          <w:rFonts w:ascii="Calibri" w:eastAsia="Calibri" w:hAnsi="Calibri" w:cs="Calibri"/>
          <w:sz w:val="20"/>
          <w:szCs w:val="20"/>
        </w:rPr>
        <w:t>prevent 52,000 premature deaths annually</w:t>
      </w:r>
    </w:p>
    <w:p w14:paraId="4DB81E47" w14:textId="77777777" w:rsidR="00A149B7" w:rsidRDefault="00FC4450">
      <w:pPr>
        <w:numPr>
          <w:ilvl w:val="0"/>
          <w:numId w:val="3"/>
        </w:numPr>
        <w:rPr>
          <w:rFonts w:ascii="Calibri" w:eastAsia="Calibri" w:hAnsi="Calibri" w:cs="Calibri"/>
          <w:sz w:val="20"/>
          <w:szCs w:val="20"/>
        </w:rPr>
      </w:pPr>
      <w:r>
        <w:rPr>
          <w:rFonts w:ascii="Calibri" w:eastAsia="Calibri" w:hAnsi="Calibri" w:cs="Calibri"/>
          <w:sz w:val="20"/>
          <w:szCs w:val="20"/>
        </w:rPr>
        <w:t>save $167 billion in health costs over 35 year</w:t>
      </w:r>
      <w:r>
        <w:rPr>
          <w:rFonts w:ascii="Calibri" w:eastAsia="Calibri" w:hAnsi="Calibri" w:cs="Calibri"/>
          <w:sz w:val="20"/>
          <w:szCs w:val="20"/>
        </w:rPr>
        <w:t>s</w:t>
      </w:r>
    </w:p>
    <w:p w14:paraId="7BBC79E7" w14:textId="77777777" w:rsidR="002E5AEE" w:rsidRDefault="00FC4450">
      <w:pPr>
        <w:rPr>
          <w:rFonts w:ascii="Calibri" w:eastAsia="Calibri" w:hAnsi="Calibri" w:cs="Calibri"/>
          <w:sz w:val="20"/>
          <w:szCs w:val="20"/>
        </w:rPr>
      </w:pPr>
      <w:r>
        <w:rPr>
          <w:rFonts w:ascii="Calibri" w:eastAsia="Calibri" w:hAnsi="Calibri" w:cs="Calibri"/>
          <w:sz w:val="20"/>
          <w:szCs w:val="20"/>
        </w:rPr>
        <w:t xml:space="preserve">Locally, we see </w:t>
      </w:r>
      <w:r>
        <w:rPr>
          <w:rFonts w:ascii="Calibri" w:eastAsia="Calibri" w:hAnsi="Calibri" w:cs="Calibri"/>
          <w:sz w:val="20"/>
          <w:szCs w:val="20"/>
          <w:highlight w:val="yellow"/>
        </w:rPr>
        <w:t xml:space="preserve">XXX </w:t>
      </w:r>
      <w:r>
        <w:rPr>
          <w:rFonts w:ascii="Calibri" w:eastAsia="Calibri" w:hAnsi="Calibri" w:cs="Calibri"/>
          <w:sz w:val="20"/>
          <w:szCs w:val="20"/>
        </w:rPr>
        <w:t>problems (asthma, cardiovascular, extreme weather, wildfire, flooding, etc. and their health impacts and costs). We have an opportunity to increase our ability to improve community health, recruit and retain good personnel, align with</w:t>
      </w:r>
      <w:r>
        <w:rPr>
          <w:rFonts w:ascii="Calibri" w:eastAsia="Calibri" w:hAnsi="Calibri" w:cs="Calibri"/>
          <w:sz w:val="20"/>
          <w:szCs w:val="20"/>
        </w:rPr>
        <w:t xml:space="preserve"> our patients’ and donors’ needs and values by considering doing </w:t>
      </w:r>
      <w:r>
        <w:rPr>
          <w:rFonts w:ascii="Calibri" w:eastAsia="Calibri" w:hAnsi="Calibri" w:cs="Calibri"/>
          <w:sz w:val="20"/>
          <w:szCs w:val="20"/>
          <w:highlight w:val="yellow"/>
        </w:rPr>
        <w:t xml:space="preserve">XXX. </w:t>
      </w:r>
    </w:p>
    <w:p w14:paraId="1E952FDC" w14:textId="77777777" w:rsidR="002E5AEE" w:rsidRDefault="002E5AEE">
      <w:pPr>
        <w:rPr>
          <w:rFonts w:ascii="Calibri" w:eastAsia="Calibri" w:hAnsi="Calibri" w:cs="Calibri"/>
          <w:sz w:val="20"/>
          <w:szCs w:val="20"/>
        </w:rPr>
      </w:pPr>
    </w:p>
    <w:p w14:paraId="74A20D42" w14:textId="77777777" w:rsidR="00A149B7" w:rsidRDefault="00FC4450">
      <w:pPr>
        <w:rPr>
          <w:rFonts w:ascii="Calibri" w:eastAsia="Calibri" w:hAnsi="Calibri" w:cs="Calibri"/>
          <w:b/>
          <w:sz w:val="24"/>
          <w:szCs w:val="24"/>
        </w:rPr>
      </w:pPr>
      <w:r>
        <w:rPr>
          <w:rFonts w:ascii="Calibri" w:eastAsia="Calibri" w:hAnsi="Calibri" w:cs="Calibri"/>
          <w:b/>
        </w:rPr>
        <w:t xml:space="preserve">Energy use at </w:t>
      </w:r>
      <w:r>
        <w:rPr>
          <w:rFonts w:ascii="Calibri" w:eastAsia="Calibri" w:hAnsi="Calibri" w:cs="Calibri"/>
          <w:b/>
          <w:sz w:val="24"/>
          <w:szCs w:val="24"/>
          <w:highlight w:val="yellow"/>
        </w:rPr>
        <w:t>XX</w:t>
      </w:r>
      <w:r>
        <w:rPr>
          <w:rFonts w:ascii="Calibri" w:eastAsia="Calibri" w:hAnsi="Calibri" w:cs="Calibri"/>
          <w:b/>
          <w:sz w:val="24"/>
          <w:szCs w:val="24"/>
        </w:rPr>
        <w:t xml:space="preserve"> Hospital</w:t>
      </w:r>
    </w:p>
    <w:p w14:paraId="07E393AB" w14:textId="77777777" w:rsidR="00A149B7" w:rsidRDefault="00FC4450">
      <w:pPr>
        <w:numPr>
          <w:ilvl w:val="0"/>
          <w:numId w:val="1"/>
        </w:numPr>
        <w:rPr>
          <w:rFonts w:ascii="Calibri" w:eastAsia="Calibri" w:hAnsi="Calibri" w:cs="Calibri"/>
          <w:sz w:val="20"/>
          <w:szCs w:val="20"/>
        </w:rPr>
      </w:pPr>
      <w:proofErr w:type="spellStart"/>
      <w:proofErr w:type="gramStart"/>
      <w:r>
        <w:rPr>
          <w:rFonts w:ascii="Calibri" w:eastAsia="Calibri" w:hAnsi="Calibri" w:cs="Calibri"/>
          <w:sz w:val="20"/>
          <w:szCs w:val="20"/>
          <w:highlight w:val="yellow"/>
        </w:rPr>
        <w:t>x,xxx</w:t>
      </w:r>
      <w:proofErr w:type="gramEnd"/>
      <w:r>
        <w:rPr>
          <w:rFonts w:ascii="Calibri" w:eastAsia="Calibri" w:hAnsi="Calibri" w:cs="Calibri"/>
          <w:sz w:val="20"/>
          <w:szCs w:val="20"/>
          <w:highlight w:val="yellow"/>
        </w:rPr>
        <w:t>,xxx</w:t>
      </w:r>
      <w:proofErr w:type="spellEnd"/>
      <w:r>
        <w:rPr>
          <w:rFonts w:ascii="Calibri" w:eastAsia="Calibri" w:hAnsi="Calibri" w:cs="Calibri"/>
          <w:sz w:val="20"/>
          <w:szCs w:val="20"/>
          <w:highlight w:val="yellow"/>
        </w:rPr>
        <w:t xml:space="preserve">  kWh (or MWh)</w:t>
      </w:r>
    </w:p>
    <w:p w14:paraId="40A4AFCF" w14:textId="77777777" w:rsidR="00A149B7" w:rsidRDefault="00FC4450">
      <w:pPr>
        <w:numPr>
          <w:ilvl w:val="0"/>
          <w:numId w:val="1"/>
        </w:numPr>
        <w:rPr>
          <w:rFonts w:ascii="Calibri" w:eastAsia="Calibri" w:hAnsi="Calibri" w:cs="Calibri"/>
          <w:sz w:val="20"/>
          <w:szCs w:val="20"/>
        </w:rPr>
      </w:pPr>
      <w:proofErr w:type="spellStart"/>
      <w:proofErr w:type="gramStart"/>
      <w:r>
        <w:rPr>
          <w:rFonts w:ascii="Calibri" w:eastAsia="Calibri" w:hAnsi="Calibri" w:cs="Calibri"/>
          <w:sz w:val="20"/>
          <w:szCs w:val="20"/>
          <w:highlight w:val="yellow"/>
        </w:rPr>
        <w:t>yyy,yyy</w:t>
      </w:r>
      <w:proofErr w:type="gramEnd"/>
      <w:r>
        <w:rPr>
          <w:rFonts w:ascii="Calibri" w:eastAsia="Calibri" w:hAnsi="Calibri" w:cs="Calibri"/>
          <w:sz w:val="20"/>
          <w:szCs w:val="20"/>
          <w:highlight w:val="yellow"/>
        </w:rPr>
        <w:t>,yyy</w:t>
      </w:r>
      <w:proofErr w:type="spellEnd"/>
      <w:r>
        <w:rPr>
          <w:rFonts w:ascii="Calibri" w:eastAsia="Calibri" w:hAnsi="Calibri" w:cs="Calibri"/>
          <w:sz w:val="20"/>
          <w:szCs w:val="20"/>
          <w:highlight w:val="yellow"/>
        </w:rPr>
        <w:t xml:space="preserve"> </w:t>
      </w:r>
      <w:proofErr w:type="spellStart"/>
      <w:r>
        <w:rPr>
          <w:rFonts w:ascii="Calibri" w:eastAsia="Calibri" w:hAnsi="Calibri" w:cs="Calibri"/>
          <w:sz w:val="20"/>
          <w:szCs w:val="20"/>
          <w:highlight w:val="yellow"/>
        </w:rPr>
        <w:t>therms</w:t>
      </w:r>
      <w:proofErr w:type="spellEnd"/>
      <w:r>
        <w:rPr>
          <w:rFonts w:ascii="Calibri" w:eastAsia="Calibri" w:hAnsi="Calibri" w:cs="Calibri"/>
          <w:sz w:val="20"/>
          <w:szCs w:val="20"/>
          <w:highlight w:val="yellow"/>
        </w:rPr>
        <w:t xml:space="preserve">, </w:t>
      </w:r>
      <w:proofErr w:type="spellStart"/>
      <w:r>
        <w:rPr>
          <w:rFonts w:ascii="Calibri" w:eastAsia="Calibri" w:hAnsi="Calibri" w:cs="Calibri"/>
          <w:sz w:val="20"/>
          <w:szCs w:val="20"/>
          <w:highlight w:val="yellow"/>
        </w:rPr>
        <w:t>cf</w:t>
      </w:r>
      <w:proofErr w:type="spellEnd"/>
      <w:r>
        <w:rPr>
          <w:rFonts w:ascii="Calibri" w:eastAsia="Calibri" w:hAnsi="Calibri" w:cs="Calibri"/>
          <w:sz w:val="20"/>
          <w:szCs w:val="20"/>
          <w:highlight w:val="yellow"/>
        </w:rPr>
        <w:t xml:space="preserve">, </w:t>
      </w:r>
      <w:proofErr w:type="spellStart"/>
      <w:r>
        <w:rPr>
          <w:rFonts w:ascii="Calibri" w:eastAsia="Calibri" w:hAnsi="Calibri" w:cs="Calibri"/>
          <w:sz w:val="20"/>
          <w:szCs w:val="20"/>
          <w:highlight w:val="yellow"/>
        </w:rPr>
        <w:t>btus</w:t>
      </w:r>
      <w:proofErr w:type="spellEnd"/>
      <w:r>
        <w:rPr>
          <w:rFonts w:ascii="Calibri" w:eastAsia="Calibri" w:hAnsi="Calibri" w:cs="Calibri"/>
          <w:sz w:val="20"/>
          <w:szCs w:val="20"/>
          <w:highlight w:val="yellow"/>
        </w:rPr>
        <w:t>, etc.</w:t>
      </w:r>
    </w:p>
    <w:p w14:paraId="08F963E1" w14:textId="77777777" w:rsidR="00A149B7" w:rsidRDefault="00FC4450">
      <w:pPr>
        <w:numPr>
          <w:ilvl w:val="0"/>
          <w:numId w:val="1"/>
        </w:numPr>
        <w:rPr>
          <w:rFonts w:ascii="Calibri" w:eastAsia="Calibri" w:hAnsi="Calibri" w:cs="Calibri"/>
          <w:sz w:val="20"/>
          <w:szCs w:val="20"/>
        </w:rPr>
      </w:pPr>
      <w:r>
        <w:rPr>
          <w:rFonts w:ascii="Calibri" w:eastAsia="Calibri" w:hAnsi="Calibri" w:cs="Calibri"/>
          <w:sz w:val="20"/>
          <w:szCs w:val="20"/>
        </w:rPr>
        <w:t xml:space="preserve">In recent years we have </w:t>
      </w:r>
      <w:r>
        <w:rPr>
          <w:rFonts w:ascii="Calibri" w:eastAsia="Calibri" w:hAnsi="Calibri" w:cs="Calibri"/>
          <w:sz w:val="20"/>
          <w:szCs w:val="20"/>
          <w:highlight w:val="yellow"/>
        </w:rPr>
        <w:t>(insert any major energy efficiency, clean energy or other relevant efforts</w:t>
      </w:r>
      <w:r>
        <w:rPr>
          <w:rFonts w:ascii="Calibri" w:eastAsia="Calibri" w:hAnsi="Calibri" w:cs="Calibri"/>
          <w:sz w:val="20"/>
          <w:szCs w:val="20"/>
          <w:highlight w:val="yellow"/>
        </w:rPr>
        <w:t>)</w:t>
      </w:r>
    </w:p>
    <w:p w14:paraId="627973BF" w14:textId="77777777" w:rsidR="00A149B7" w:rsidRDefault="00FC4450">
      <w:pPr>
        <w:rPr>
          <w:rFonts w:ascii="Calibri" w:eastAsia="Calibri" w:hAnsi="Calibri" w:cs="Calibri"/>
          <w:b/>
        </w:rPr>
      </w:pPr>
      <w:r>
        <w:rPr>
          <w:rFonts w:ascii="Calibri" w:eastAsia="Calibri" w:hAnsi="Calibri" w:cs="Calibri"/>
          <w:sz w:val="20"/>
          <w:szCs w:val="20"/>
        </w:rPr>
        <w:br/>
      </w:r>
      <w:r>
        <w:rPr>
          <w:rFonts w:ascii="Calibri" w:eastAsia="Calibri" w:hAnsi="Calibri" w:cs="Calibri"/>
          <w:b/>
        </w:rPr>
        <w:t>How the Calculator works</w:t>
      </w:r>
    </w:p>
    <w:p w14:paraId="685A4B63" w14:textId="77777777" w:rsidR="00A149B7" w:rsidRDefault="00FC4450">
      <w:pPr>
        <w:rPr>
          <w:rFonts w:ascii="Calibri" w:eastAsia="Calibri" w:hAnsi="Calibri" w:cs="Calibri"/>
          <w:sz w:val="20"/>
          <w:szCs w:val="20"/>
        </w:rPr>
      </w:pPr>
      <w:r>
        <w:rPr>
          <w:rFonts w:ascii="Calibri" w:eastAsia="Calibri" w:hAnsi="Calibri" w:cs="Calibri"/>
          <w:sz w:val="20"/>
          <w:szCs w:val="20"/>
        </w:rPr>
        <w:t xml:space="preserve">The </w:t>
      </w:r>
      <w:hyperlink r:id="rId9">
        <w:r>
          <w:rPr>
            <w:rFonts w:ascii="Calibri" w:eastAsia="Calibri" w:hAnsi="Calibri" w:cs="Calibri"/>
            <w:color w:val="1155CC"/>
            <w:sz w:val="20"/>
            <w:szCs w:val="20"/>
            <w:u w:val="single"/>
          </w:rPr>
          <w:t>Energy and Health Impact Calculator</w:t>
        </w:r>
      </w:hyperlink>
      <w:r>
        <w:rPr>
          <w:rFonts w:ascii="Calibri" w:eastAsia="Calibri" w:hAnsi="Calibri" w:cs="Calibri"/>
          <w:sz w:val="20"/>
          <w:szCs w:val="20"/>
        </w:rPr>
        <w:t xml:space="preserve"> is a free tool developed by </w:t>
      </w:r>
      <w:hyperlink r:id="rId10">
        <w:r>
          <w:rPr>
            <w:rFonts w:ascii="Calibri" w:eastAsia="Calibri" w:hAnsi="Calibri" w:cs="Calibri"/>
            <w:color w:val="1155CC"/>
            <w:sz w:val="20"/>
            <w:szCs w:val="20"/>
            <w:u w:val="single"/>
          </w:rPr>
          <w:t>Health Care Without Harm</w:t>
        </w:r>
      </w:hyperlink>
      <w:r>
        <w:rPr>
          <w:rFonts w:ascii="Calibri" w:eastAsia="Calibri" w:hAnsi="Calibri" w:cs="Calibri"/>
          <w:sz w:val="20"/>
          <w:szCs w:val="20"/>
        </w:rPr>
        <w:t xml:space="preserve"> and </w:t>
      </w:r>
      <w:hyperlink r:id="rId11">
        <w:r>
          <w:rPr>
            <w:rFonts w:ascii="Calibri" w:eastAsia="Calibri" w:hAnsi="Calibri" w:cs="Calibri"/>
            <w:color w:val="1155CC"/>
            <w:sz w:val="20"/>
            <w:szCs w:val="20"/>
            <w:u w:val="single"/>
          </w:rPr>
          <w:t xml:space="preserve">Practice </w:t>
        </w:r>
        <w:proofErr w:type="spellStart"/>
        <w:r>
          <w:rPr>
            <w:rFonts w:ascii="Calibri" w:eastAsia="Calibri" w:hAnsi="Calibri" w:cs="Calibri"/>
            <w:color w:val="1155CC"/>
            <w:sz w:val="20"/>
            <w:szCs w:val="20"/>
            <w:u w:val="single"/>
          </w:rPr>
          <w:t>Greenhealth</w:t>
        </w:r>
        <w:proofErr w:type="spellEnd"/>
      </w:hyperlink>
      <w:r>
        <w:rPr>
          <w:rFonts w:ascii="Calibri" w:eastAsia="Calibri" w:hAnsi="Calibri" w:cs="Calibri"/>
          <w:sz w:val="20"/>
          <w:szCs w:val="20"/>
        </w:rPr>
        <w:t xml:space="preserve"> to help health care facilities and other users assess the health impacts of their electricity and thermal energy consumption. </w:t>
      </w:r>
    </w:p>
    <w:p w14:paraId="6B0B0F78" w14:textId="77777777" w:rsidR="00A149B7" w:rsidRDefault="00A149B7">
      <w:pPr>
        <w:jc w:val="center"/>
        <w:rPr>
          <w:rFonts w:ascii="Calibri" w:eastAsia="Calibri" w:hAnsi="Calibri" w:cs="Calibri"/>
        </w:rPr>
      </w:pPr>
    </w:p>
    <w:p w14:paraId="225D6E20" w14:textId="77777777" w:rsidR="00A149B7" w:rsidRDefault="00FC4450">
      <w:pPr>
        <w:widowControl w:val="0"/>
        <w:spacing w:after="200"/>
        <w:rPr>
          <w:rFonts w:ascii="Calibri" w:eastAsia="Calibri" w:hAnsi="Calibri" w:cs="Calibri"/>
          <w:sz w:val="20"/>
          <w:szCs w:val="20"/>
        </w:rPr>
      </w:pPr>
      <w:r>
        <w:rPr>
          <w:rFonts w:ascii="Calibri" w:eastAsia="Calibri" w:hAnsi="Calibri" w:cs="Calibri"/>
          <w:sz w:val="20"/>
          <w:szCs w:val="20"/>
        </w:rPr>
        <w:t>The Calculator converts user-input electricity and therma</w:t>
      </w:r>
      <w:r>
        <w:rPr>
          <w:rFonts w:ascii="Calibri" w:eastAsia="Calibri" w:hAnsi="Calibri" w:cs="Calibri"/>
          <w:sz w:val="20"/>
          <w:szCs w:val="20"/>
        </w:rPr>
        <w:t>l energy consumption data into expected health and welfare impacts, which include illness, premature mortality, missed workdays, and other effects. These results are valued using standardized rates. Both emissions and endpoint results, and their associated</w:t>
      </w:r>
      <w:r>
        <w:rPr>
          <w:rFonts w:ascii="Calibri" w:eastAsia="Calibri" w:hAnsi="Calibri" w:cs="Calibri"/>
          <w:sz w:val="20"/>
          <w:szCs w:val="20"/>
        </w:rPr>
        <w:t xml:space="preserve"> values, are output to the user. </w:t>
      </w:r>
    </w:p>
    <w:p w14:paraId="75567B18" w14:textId="77777777" w:rsidR="00A149B7" w:rsidRDefault="00FC4450">
      <w:pPr>
        <w:widowControl w:val="0"/>
        <w:spacing w:after="200"/>
        <w:rPr>
          <w:rFonts w:ascii="Calibri" w:eastAsia="Calibri" w:hAnsi="Calibri" w:cs="Calibri"/>
          <w:sz w:val="20"/>
          <w:szCs w:val="20"/>
        </w:rPr>
      </w:pPr>
      <w:r>
        <w:rPr>
          <w:rFonts w:ascii="Calibri" w:eastAsia="Calibri" w:hAnsi="Calibri" w:cs="Calibri"/>
          <w:sz w:val="20"/>
          <w:szCs w:val="20"/>
        </w:rPr>
        <w:t xml:space="preserve">Based on the geographic information provided by the user, the Calculator evaluates emissions impacts at the grid-regional level, predicting county-level </w:t>
      </w:r>
      <w:r>
        <w:rPr>
          <w:rFonts w:ascii="Calibri" w:eastAsia="Calibri" w:hAnsi="Calibri" w:cs="Calibri"/>
          <w:sz w:val="20"/>
          <w:szCs w:val="20"/>
        </w:rPr>
        <w:lastRenderedPageBreak/>
        <w:t>associated emissions totals or emissions changes, using the EPA AVERT</w:t>
      </w:r>
      <w:r>
        <w:rPr>
          <w:rFonts w:ascii="Calibri" w:eastAsia="Calibri" w:hAnsi="Calibri" w:cs="Calibri"/>
          <w:sz w:val="20"/>
          <w:szCs w:val="20"/>
        </w:rPr>
        <w:t xml:space="preserve"> topology that divides the contiguous United States into ten discrete regions. Emissions impacts are evaluated similarly at the county-level for the entire contiguous United States.  </w:t>
      </w:r>
    </w:p>
    <w:p w14:paraId="11BD2DC6" w14:textId="77777777" w:rsidR="00A149B7" w:rsidRDefault="00FC4450">
      <w:pPr>
        <w:widowControl w:val="0"/>
        <w:spacing w:after="200"/>
        <w:rPr>
          <w:rFonts w:ascii="Calibri" w:eastAsia="Calibri" w:hAnsi="Calibri" w:cs="Calibri"/>
          <w:sz w:val="20"/>
          <w:szCs w:val="20"/>
        </w:rPr>
      </w:pPr>
      <w:r>
        <w:rPr>
          <w:rFonts w:ascii="Calibri" w:eastAsia="Calibri" w:hAnsi="Calibri" w:cs="Calibri"/>
          <w:sz w:val="20"/>
          <w:szCs w:val="20"/>
        </w:rPr>
        <w:t xml:space="preserve">This process can be visualized in five distinct steps, presented in the </w:t>
      </w:r>
      <w:r>
        <w:rPr>
          <w:rFonts w:ascii="Calibri" w:eastAsia="Calibri" w:hAnsi="Calibri" w:cs="Calibri"/>
          <w:sz w:val="20"/>
          <w:szCs w:val="20"/>
        </w:rPr>
        <w:t>figure below.</w:t>
      </w:r>
    </w:p>
    <w:bookmarkStart w:id="1" w:name="_gjdgxs" w:colFirst="0" w:colLast="0"/>
    <w:bookmarkEnd w:id="1"/>
    <w:p w14:paraId="2191C7B1" w14:textId="77777777" w:rsidR="00A149B7" w:rsidRDefault="00FC4450">
      <w:pPr>
        <w:spacing w:after="200"/>
        <w:jc w:val="center"/>
        <w:rPr>
          <w:rFonts w:ascii="Calibri" w:eastAsia="Calibri" w:hAnsi="Calibri" w:cs="Calibri"/>
        </w:rPr>
      </w:pPr>
      <w:r>
        <w:rPr>
          <w:rFonts w:ascii="Calibri" w:eastAsia="Calibri" w:hAnsi="Calibri" w:cs="Calibri"/>
          <w:b/>
          <w:noProof/>
          <w:color w:val="296C7D"/>
        </w:rPr>
        <mc:AlternateContent>
          <mc:Choice Requires="wpg">
            <w:drawing>
              <wp:inline distT="0" distB="0" distL="0" distR="0" wp14:anchorId="7EC0469C" wp14:editId="3161D6AB">
                <wp:extent cx="5867400" cy="1181100"/>
                <wp:effectExtent l="0" t="0" r="0" b="0"/>
                <wp:docPr id="1" name="Group 1"/>
                <wp:cNvGraphicFramePr/>
                <a:graphic xmlns:a="http://schemas.openxmlformats.org/drawingml/2006/main">
                  <a:graphicData uri="http://schemas.microsoft.com/office/word/2010/wordprocessingGroup">
                    <wpg:wgp>
                      <wpg:cNvGrpSpPr/>
                      <wpg:grpSpPr>
                        <a:xfrm>
                          <a:off x="0" y="0"/>
                          <a:ext cx="5867400" cy="1181100"/>
                          <a:chOff x="2412300" y="3189450"/>
                          <a:chExt cx="5867400" cy="1181100"/>
                        </a:xfrm>
                      </wpg:grpSpPr>
                      <wpg:grpSp>
                        <wpg:cNvPr id="2" name="Group 2"/>
                        <wpg:cNvGrpSpPr/>
                        <wpg:grpSpPr>
                          <a:xfrm>
                            <a:off x="2412300" y="3189450"/>
                            <a:ext cx="5867400" cy="1181100"/>
                            <a:chOff x="2412300" y="3189450"/>
                            <a:chExt cx="5867400" cy="1181100"/>
                          </a:xfrm>
                        </wpg:grpSpPr>
                        <wps:wsp>
                          <wps:cNvPr id="3" name="Rectangle 3"/>
                          <wps:cNvSpPr/>
                          <wps:spPr>
                            <a:xfrm>
                              <a:off x="2412300" y="3189450"/>
                              <a:ext cx="5867400" cy="1181100"/>
                            </a:xfrm>
                            <a:prstGeom prst="rect">
                              <a:avLst/>
                            </a:prstGeom>
                            <a:noFill/>
                            <a:ln>
                              <a:noFill/>
                            </a:ln>
                          </wps:spPr>
                          <wps:txbx>
                            <w:txbxContent>
                              <w:p w14:paraId="5F4045F0" w14:textId="77777777" w:rsidR="00A149B7" w:rsidRDefault="00A149B7">
                                <w:pPr>
                                  <w:spacing w:line="240" w:lineRule="auto"/>
                                  <w:textDirection w:val="btLr"/>
                                </w:pPr>
                              </w:p>
                            </w:txbxContent>
                          </wps:txbx>
                          <wps:bodyPr spcFirstLastPara="1" wrap="square" lIns="91425" tIns="91425" rIns="91425" bIns="91425" anchor="ctr" anchorCtr="0">
                            <a:noAutofit/>
                          </wps:bodyPr>
                        </wps:wsp>
                        <wpg:grpSp>
                          <wpg:cNvPr id="4" name="Group 4"/>
                          <wpg:cNvGrpSpPr/>
                          <wpg:grpSpPr>
                            <a:xfrm>
                              <a:off x="2412300" y="3189450"/>
                              <a:ext cx="5867400" cy="1181100"/>
                              <a:chOff x="0" y="0"/>
                              <a:chExt cx="5867400" cy="1181100"/>
                            </a:xfrm>
                          </wpg:grpSpPr>
                          <wps:wsp>
                            <wps:cNvPr id="5" name="Rectangle 5"/>
                            <wps:cNvSpPr/>
                            <wps:spPr>
                              <a:xfrm>
                                <a:off x="0" y="0"/>
                                <a:ext cx="5867400" cy="1181100"/>
                              </a:xfrm>
                              <a:prstGeom prst="rect">
                                <a:avLst/>
                              </a:prstGeom>
                              <a:noFill/>
                              <a:ln>
                                <a:noFill/>
                              </a:ln>
                            </wps:spPr>
                            <wps:txbx>
                              <w:txbxContent>
                                <w:p w14:paraId="72FD4F4A" w14:textId="77777777" w:rsidR="00A149B7" w:rsidRDefault="00A149B7">
                                  <w:pPr>
                                    <w:spacing w:line="240" w:lineRule="auto"/>
                                    <w:textDirection w:val="btLr"/>
                                  </w:pPr>
                                </w:p>
                              </w:txbxContent>
                            </wps:txbx>
                            <wps:bodyPr spcFirstLastPara="1" wrap="square" lIns="91425" tIns="91425" rIns="91425" bIns="91425" anchor="ctr" anchorCtr="0">
                              <a:noAutofit/>
                            </wps:bodyPr>
                          </wps:wsp>
                          <wpg:grpSp>
                            <wpg:cNvPr id="6" name="Group 6"/>
                            <wpg:cNvGrpSpPr/>
                            <wpg:grpSpPr>
                              <a:xfrm>
                                <a:off x="0" y="0"/>
                                <a:ext cx="5867400" cy="1181100"/>
                                <a:chOff x="0" y="0"/>
                                <a:chExt cx="5867400" cy="1181100"/>
                              </a:xfrm>
                            </wpg:grpSpPr>
                            <wps:wsp>
                              <wps:cNvPr id="7" name="Rectangle 7"/>
                              <wps:cNvSpPr/>
                              <wps:spPr>
                                <a:xfrm>
                                  <a:off x="0" y="0"/>
                                  <a:ext cx="5867400" cy="1181100"/>
                                </a:xfrm>
                                <a:prstGeom prst="rect">
                                  <a:avLst/>
                                </a:prstGeom>
                                <a:noFill/>
                                <a:ln>
                                  <a:noFill/>
                                </a:ln>
                              </wps:spPr>
                              <wps:txbx>
                                <w:txbxContent>
                                  <w:p w14:paraId="4100BBE1" w14:textId="77777777" w:rsidR="00A149B7" w:rsidRDefault="00A149B7">
                                    <w:pPr>
                                      <w:spacing w:line="240" w:lineRule="auto"/>
                                      <w:textDirection w:val="btLr"/>
                                    </w:pPr>
                                  </w:p>
                                </w:txbxContent>
                              </wps:txbx>
                              <wps:bodyPr spcFirstLastPara="1" wrap="square" lIns="91425" tIns="91425" rIns="91425" bIns="91425" anchor="ctr" anchorCtr="0">
                                <a:noAutofit/>
                              </wps:bodyPr>
                            </wps:wsp>
                            <wps:wsp>
                              <wps:cNvPr id="8" name="Arrow: Right 8"/>
                              <wps:cNvSpPr/>
                              <wps:spPr>
                                <a:xfrm>
                                  <a:off x="1" y="0"/>
                                  <a:ext cx="5867397" cy="1181099"/>
                                </a:xfrm>
                                <a:prstGeom prst="rightArrow">
                                  <a:avLst>
                                    <a:gd name="adj1" fmla="val 50000"/>
                                    <a:gd name="adj2" fmla="val 50000"/>
                                  </a:avLst>
                                </a:prstGeom>
                                <a:solidFill>
                                  <a:srgbClr val="CCDBE1"/>
                                </a:solidFill>
                                <a:ln>
                                  <a:noFill/>
                                </a:ln>
                                <a:effectLst>
                                  <a:outerShdw blurRad="63500" dist="25400" dir="5400000" rotWithShape="0">
                                    <a:srgbClr val="000000">
                                      <a:alpha val="41960"/>
                                    </a:srgbClr>
                                  </a:outerShdw>
                                </a:effectLst>
                              </wps:spPr>
                              <wps:txbx>
                                <w:txbxContent>
                                  <w:p w14:paraId="7B4715AE" w14:textId="77777777" w:rsidR="00A149B7" w:rsidRDefault="00A149B7">
                                    <w:pPr>
                                      <w:spacing w:line="240" w:lineRule="auto"/>
                                      <w:textDirection w:val="btLr"/>
                                    </w:pPr>
                                  </w:p>
                                </w:txbxContent>
                              </wps:txbx>
                              <wps:bodyPr spcFirstLastPara="1" wrap="square" lIns="91425" tIns="91425" rIns="91425" bIns="91425" anchor="ctr" anchorCtr="0">
                                <a:noAutofit/>
                              </wps:bodyPr>
                            </wps:wsp>
                            <wps:wsp>
                              <wps:cNvPr id="9" name="Rectangle: Rounded Corners 9"/>
                              <wps:cNvSpPr/>
                              <wps:spPr>
                                <a:xfrm>
                                  <a:off x="115987" y="378918"/>
                                  <a:ext cx="972908" cy="423263"/>
                                </a:xfrm>
                                <a:prstGeom prst="roundRect">
                                  <a:avLst>
                                    <a:gd name="adj" fmla="val 16667"/>
                                  </a:avLst>
                                </a:prstGeom>
                                <a:gradFill>
                                  <a:gsLst>
                                    <a:gs pos="0">
                                      <a:srgbClr val="3FABCD"/>
                                    </a:gs>
                                    <a:gs pos="15000">
                                      <a:srgbClr val="3EAACC"/>
                                    </a:gs>
                                    <a:gs pos="62000">
                                      <a:srgbClr val="2597B9"/>
                                    </a:gs>
                                    <a:gs pos="97000">
                                      <a:srgbClr val="1786A5"/>
                                    </a:gs>
                                    <a:gs pos="100000">
                                      <a:srgbClr val="0985A6"/>
                                    </a:gs>
                                  </a:gsLst>
                                  <a:path path="circle">
                                    <a:fillToRect l="50000" t="50000" r="50000" b="50000"/>
                                  </a:path>
                                  <a:tileRect/>
                                </a:gradFill>
                                <a:ln>
                                  <a:noFill/>
                                </a:ln>
                                <a:effectLst>
                                  <a:outerShdw blurRad="63500" dist="25400" dir="5400000" rotWithShape="0">
                                    <a:srgbClr val="000000">
                                      <a:alpha val="41960"/>
                                    </a:srgbClr>
                                  </a:outerShdw>
                                </a:effectLst>
                              </wps:spPr>
                              <wps:txbx>
                                <w:txbxContent>
                                  <w:p w14:paraId="325D7BB1" w14:textId="77777777" w:rsidR="00A149B7" w:rsidRDefault="00A149B7">
                                    <w:pPr>
                                      <w:spacing w:line="240" w:lineRule="auto"/>
                                      <w:textDirection w:val="btLr"/>
                                    </w:pPr>
                                  </w:p>
                                </w:txbxContent>
                              </wps:txbx>
                              <wps:bodyPr spcFirstLastPara="1" wrap="square" lIns="91425" tIns="91425" rIns="91425" bIns="91425" anchor="ctr" anchorCtr="0">
                                <a:noAutofit/>
                              </wps:bodyPr>
                            </wps:wsp>
                            <wps:wsp>
                              <wps:cNvPr id="10" name="Rectangle 10"/>
                              <wps:cNvSpPr/>
                              <wps:spPr>
                                <a:xfrm>
                                  <a:off x="136649" y="399580"/>
                                  <a:ext cx="931584" cy="381939"/>
                                </a:xfrm>
                                <a:prstGeom prst="rect">
                                  <a:avLst/>
                                </a:prstGeom>
                                <a:noFill/>
                                <a:ln>
                                  <a:noFill/>
                                </a:ln>
                              </wps:spPr>
                              <wps:txbx>
                                <w:txbxContent>
                                  <w:p w14:paraId="229003E0" w14:textId="77777777" w:rsidR="00A149B7" w:rsidRDefault="00FC4450">
                                    <w:pPr>
                                      <w:spacing w:line="215" w:lineRule="auto"/>
                                      <w:jc w:val="center"/>
                                      <w:textDirection w:val="btLr"/>
                                    </w:pPr>
                                    <w:r>
                                      <w:rPr>
                                        <w:rFonts w:ascii="Gill Sans" w:eastAsia="Gill Sans" w:hAnsi="Gill Sans" w:cs="Gill Sans"/>
                                        <w:color w:val="000000"/>
                                        <w:sz w:val="16"/>
                                      </w:rPr>
                                      <w:t>Step 1: user inputs energy data</w:t>
                                    </w:r>
                                  </w:p>
                                </w:txbxContent>
                              </wps:txbx>
                              <wps:bodyPr spcFirstLastPara="1" wrap="square" lIns="30475" tIns="30475" rIns="30475" bIns="30475" anchor="ctr" anchorCtr="0">
                                <a:noAutofit/>
                              </wps:bodyPr>
                            </wps:wsp>
                            <wps:wsp>
                              <wps:cNvPr id="11" name="Rectangle: Rounded Corners 11"/>
                              <wps:cNvSpPr/>
                              <wps:spPr>
                                <a:xfrm>
                                  <a:off x="1196299" y="378918"/>
                                  <a:ext cx="958492" cy="423263"/>
                                </a:xfrm>
                                <a:prstGeom prst="roundRect">
                                  <a:avLst>
                                    <a:gd name="adj" fmla="val 16667"/>
                                  </a:avLst>
                                </a:prstGeom>
                                <a:gradFill>
                                  <a:gsLst>
                                    <a:gs pos="0">
                                      <a:srgbClr val="3FABCD"/>
                                    </a:gs>
                                    <a:gs pos="15000">
                                      <a:srgbClr val="3EAACC"/>
                                    </a:gs>
                                    <a:gs pos="62000">
                                      <a:srgbClr val="2597B9"/>
                                    </a:gs>
                                    <a:gs pos="97000">
                                      <a:srgbClr val="1786A5"/>
                                    </a:gs>
                                    <a:gs pos="100000">
                                      <a:srgbClr val="0985A6"/>
                                    </a:gs>
                                  </a:gsLst>
                                  <a:path path="circle">
                                    <a:fillToRect l="50000" t="50000" r="50000" b="50000"/>
                                  </a:path>
                                  <a:tileRect/>
                                </a:gradFill>
                                <a:ln>
                                  <a:noFill/>
                                </a:ln>
                                <a:effectLst>
                                  <a:outerShdw blurRad="63500" dist="25400" dir="5400000" rotWithShape="0">
                                    <a:srgbClr val="000000">
                                      <a:alpha val="41960"/>
                                    </a:srgbClr>
                                  </a:outerShdw>
                                </a:effectLst>
                              </wps:spPr>
                              <wps:txbx>
                                <w:txbxContent>
                                  <w:p w14:paraId="0F515E59" w14:textId="77777777" w:rsidR="00A149B7" w:rsidRDefault="00A149B7">
                                    <w:pPr>
                                      <w:spacing w:line="240" w:lineRule="auto"/>
                                      <w:textDirection w:val="btLr"/>
                                    </w:pPr>
                                  </w:p>
                                </w:txbxContent>
                              </wps:txbx>
                              <wps:bodyPr spcFirstLastPara="1" wrap="square" lIns="91425" tIns="91425" rIns="91425" bIns="91425" anchor="ctr" anchorCtr="0">
                                <a:noAutofit/>
                              </wps:bodyPr>
                            </wps:wsp>
                            <wps:wsp>
                              <wps:cNvPr id="12" name="Rectangle 12"/>
                              <wps:cNvSpPr/>
                              <wps:spPr>
                                <a:xfrm>
                                  <a:off x="1216961" y="399580"/>
                                  <a:ext cx="917168" cy="381939"/>
                                </a:xfrm>
                                <a:prstGeom prst="rect">
                                  <a:avLst/>
                                </a:prstGeom>
                                <a:noFill/>
                                <a:ln>
                                  <a:noFill/>
                                </a:ln>
                              </wps:spPr>
                              <wps:txbx>
                                <w:txbxContent>
                                  <w:p w14:paraId="0D429E3C" w14:textId="77777777" w:rsidR="00A149B7" w:rsidRDefault="00FC4450">
                                    <w:pPr>
                                      <w:spacing w:line="215" w:lineRule="auto"/>
                                      <w:jc w:val="center"/>
                                      <w:textDirection w:val="btLr"/>
                                    </w:pPr>
                                    <w:r>
                                      <w:rPr>
                                        <w:rFonts w:ascii="Gill Sans" w:eastAsia="Gill Sans" w:hAnsi="Gill Sans" w:cs="Gill Sans"/>
                                        <w:color w:val="000000"/>
                                        <w:sz w:val="16"/>
                                      </w:rPr>
                                      <w:t>Step 2: energy data converted to emissions results</w:t>
                                    </w:r>
                                  </w:p>
                                </w:txbxContent>
                              </wps:txbx>
                              <wps:bodyPr spcFirstLastPara="1" wrap="square" lIns="30475" tIns="30475" rIns="30475" bIns="30475" anchor="ctr" anchorCtr="0">
                                <a:noAutofit/>
                              </wps:bodyPr>
                            </wps:wsp>
                            <wps:wsp>
                              <wps:cNvPr id="13" name="Rectangle: Rounded Corners 13"/>
                              <wps:cNvSpPr/>
                              <wps:spPr>
                                <a:xfrm>
                                  <a:off x="2237620" y="378918"/>
                                  <a:ext cx="1092850" cy="423263"/>
                                </a:xfrm>
                                <a:prstGeom prst="roundRect">
                                  <a:avLst>
                                    <a:gd name="adj" fmla="val 16667"/>
                                  </a:avLst>
                                </a:prstGeom>
                                <a:gradFill>
                                  <a:gsLst>
                                    <a:gs pos="0">
                                      <a:srgbClr val="3FABCD"/>
                                    </a:gs>
                                    <a:gs pos="15000">
                                      <a:srgbClr val="3EAACC"/>
                                    </a:gs>
                                    <a:gs pos="62000">
                                      <a:srgbClr val="2597B9"/>
                                    </a:gs>
                                    <a:gs pos="97000">
                                      <a:srgbClr val="1786A5"/>
                                    </a:gs>
                                    <a:gs pos="100000">
                                      <a:srgbClr val="0985A6"/>
                                    </a:gs>
                                  </a:gsLst>
                                  <a:path path="circle">
                                    <a:fillToRect l="50000" t="50000" r="50000" b="50000"/>
                                  </a:path>
                                  <a:tileRect/>
                                </a:gradFill>
                                <a:ln>
                                  <a:noFill/>
                                </a:ln>
                                <a:effectLst>
                                  <a:outerShdw blurRad="63500" dist="25400" dir="5400000" rotWithShape="0">
                                    <a:srgbClr val="000000">
                                      <a:alpha val="41960"/>
                                    </a:srgbClr>
                                  </a:outerShdw>
                                </a:effectLst>
                              </wps:spPr>
                              <wps:txbx>
                                <w:txbxContent>
                                  <w:p w14:paraId="260A14E5" w14:textId="77777777" w:rsidR="00A149B7" w:rsidRDefault="00A149B7">
                                    <w:pPr>
                                      <w:spacing w:line="240" w:lineRule="auto"/>
                                      <w:textDirection w:val="btLr"/>
                                    </w:pPr>
                                  </w:p>
                                </w:txbxContent>
                              </wps:txbx>
                              <wps:bodyPr spcFirstLastPara="1" wrap="square" lIns="91425" tIns="91425" rIns="91425" bIns="91425" anchor="ctr" anchorCtr="0">
                                <a:noAutofit/>
                              </wps:bodyPr>
                            </wps:wsp>
                            <wps:wsp>
                              <wps:cNvPr id="14" name="Rectangle 14"/>
                              <wps:cNvSpPr/>
                              <wps:spPr>
                                <a:xfrm>
                                  <a:off x="2258282" y="399580"/>
                                  <a:ext cx="1051526" cy="381939"/>
                                </a:xfrm>
                                <a:prstGeom prst="rect">
                                  <a:avLst/>
                                </a:prstGeom>
                                <a:noFill/>
                                <a:ln>
                                  <a:noFill/>
                                </a:ln>
                              </wps:spPr>
                              <wps:txbx>
                                <w:txbxContent>
                                  <w:p w14:paraId="32A2C139" w14:textId="77777777" w:rsidR="00A149B7" w:rsidRDefault="00FC4450">
                                    <w:pPr>
                                      <w:spacing w:line="215" w:lineRule="auto"/>
                                      <w:jc w:val="center"/>
                                      <w:textDirection w:val="btLr"/>
                                    </w:pPr>
                                    <w:r>
                                      <w:rPr>
                                        <w:rFonts w:ascii="Gill Sans" w:eastAsia="Gill Sans" w:hAnsi="Gill Sans" w:cs="Gill Sans"/>
                                        <w:color w:val="000000"/>
                                        <w:sz w:val="16"/>
                                      </w:rPr>
                                      <w:t>Step 3: emissions results converted to endpoint incidence</w:t>
                                    </w:r>
                                  </w:p>
                                </w:txbxContent>
                              </wps:txbx>
                              <wps:bodyPr spcFirstLastPara="1" wrap="square" lIns="30475" tIns="30475" rIns="30475" bIns="30475" anchor="ctr" anchorCtr="0">
                                <a:noAutofit/>
                              </wps:bodyPr>
                            </wps:wsp>
                            <wps:wsp>
                              <wps:cNvPr id="15" name="Rectangle: Rounded Corners 15"/>
                              <wps:cNvSpPr/>
                              <wps:spPr>
                                <a:xfrm>
                                  <a:off x="3424923" y="378918"/>
                                  <a:ext cx="1025680" cy="423263"/>
                                </a:xfrm>
                                <a:prstGeom prst="roundRect">
                                  <a:avLst>
                                    <a:gd name="adj" fmla="val 16667"/>
                                  </a:avLst>
                                </a:prstGeom>
                                <a:gradFill>
                                  <a:gsLst>
                                    <a:gs pos="0">
                                      <a:srgbClr val="3FABCD"/>
                                    </a:gs>
                                    <a:gs pos="15000">
                                      <a:srgbClr val="3EAACC"/>
                                    </a:gs>
                                    <a:gs pos="62000">
                                      <a:srgbClr val="2597B9"/>
                                    </a:gs>
                                    <a:gs pos="97000">
                                      <a:srgbClr val="1786A5"/>
                                    </a:gs>
                                    <a:gs pos="100000">
                                      <a:srgbClr val="0985A6"/>
                                    </a:gs>
                                  </a:gsLst>
                                  <a:path path="circle">
                                    <a:fillToRect l="50000" t="50000" r="50000" b="50000"/>
                                  </a:path>
                                  <a:tileRect/>
                                </a:gradFill>
                                <a:ln>
                                  <a:noFill/>
                                </a:ln>
                                <a:effectLst>
                                  <a:outerShdw blurRad="63500" dist="25400" dir="5400000" rotWithShape="0">
                                    <a:srgbClr val="000000">
                                      <a:alpha val="41960"/>
                                    </a:srgbClr>
                                  </a:outerShdw>
                                </a:effectLst>
                              </wps:spPr>
                              <wps:txbx>
                                <w:txbxContent>
                                  <w:p w14:paraId="0598C578" w14:textId="77777777" w:rsidR="00A149B7" w:rsidRDefault="00A149B7">
                                    <w:pPr>
                                      <w:spacing w:line="240" w:lineRule="auto"/>
                                      <w:textDirection w:val="btLr"/>
                                    </w:pPr>
                                  </w:p>
                                </w:txbxContent>
                              </wps:txbx>
                              <wps:bodyPr spcFirstLastPara="1" wrap="square" lIns="91425" tIns="91425" rIns="91425" bIns="91425" anchor="ctr" anchorCtr="0">
                                <a:noAutofit/>
                              </wps:bodyPr>
                            </wps:wsp>
                            <wps:wsp>
                              <wps:cNvPr id="16" name="Rectangle 16"/>
                              <wps:cNvSpPr/>
                              <wps:spPr>
                                <a:xfrm>
                                  <a:off x="3445585" y="399580"/>
                                  <a:ext cx="984356" cy="381939"/>
                                </a:xfrm>
                                <a:prstGeom prst="rect">
                                  <a:avLst/>
                                </a:prstGeom>
                                <a:noFill/>
                                <a:ln>
                                  <a:noFill/>
                                </a:ln>
                              </wps:spPr>
                              <wps:txbx>
                                <w:txbxContent>
                                  <w:p w14:paraId="2DAC778A" w14:textId="77777777" w:rsidR="00A149B7" w:rsidRDefault="00FC4450">
                                    <w:pPr>
                                      <w:spacing w:line="215" w:lineRule="auto"/>
                                      <w:jc w:val="center"/>
                                      <w:textDirection w:val="btLr"/>
                                    </w:pPr>
                                    <w:r>
                                      <w:rPr>
                                        <w:rFonts w:ascii="Gill Sans" w:eastAsia="Gill Sans" w:hAnsi="Gill Sans" w:cs="Gill Sans"/>
                                        <w:color w:val="000000"/>
                                        <w:sz w:val="16"/>
                                      </w:rPr>
                                      <w:t>Step 4: valuation of endpoint incidence</w:t>
                                    </w:r>
                                  </w:p>
                                </w:txbxContent>
                              </wps:txbx>
                              <wps:bodyPr spcFirstLastPara="1" wrap="square" lIns="30475" tIns="30475" rIns="30475" bIns="30475" anchor="ctr" anchorCtr="0">
                                <a:noAutofit/>
                              </wps:bodyPr>
                            </wps:wsp>
                            <wps:wsp>
                              <wps:cNvPr id="17" name="Rectangle: Rounded Corners 17"/>
                              <wps:cNvSpPr/>
                              <wps:spPr>
                                <a:xfrm>
                                  <a:off x="4545720" y="378918"/>
                                  <a:ext cx="1019308" cy="423263"/>
                                </a:xfrm>
                                <a:prstGeom prst="roundRect">
                                  <a:avLst>
                                    <a:gd name="adj" fmla="val 16667"/>
                                  </a:avLst>
                                </a:prstGeom>
                                <a:gradFill>
                                  <a:gsLst>
                                    <a:gs pos="0">
                                      <a:srgbClr val="3FABCD"/>
                                    </a:gs>
                                    <a:gs pos="15000">
                                      <a:srgbClr val="3EAACC"/>
                                    </a:gs>
                                    <a:gs pos="62000">
                                      <a:srgbClr val="2597B9"/>
                                    </a:gs>
                                    <a:gs pos="97000">
                                      <a:srgbClr val="1786A5"/>
                                    </a:gs>
                                    <a:gs pos="100000">
                                      <a:srgbClr val="0985A6"/>
                                    </a:gs>
                                  </a:gsLst>
                                  <a:path path="circle">
                                    <a:fillToRect l="50000" t="50000" r="50000" b="50000"/>
                                  </a:path>
                                  <a:tileRect/>
                                </a:gradFill>
                                <a:ln>
                                  <a:noFill/>
                                </a:ln>
                                <a:effectLst>
                                  <a:outerShdw blurRad="63500" dist="25400" dir="5400000" rotWithShape="0">
                                    <a:srgbClr val="000000">
                                      <a:alpha val="41960"/>
                                    </a:srgbClr>
                                  </a:outerShdw>
                                </a:effectLst>
                              </wps:spPr>
                              <wps:txbx>
                                <w:txbxContent>
                                  <w:p w14:paraId="66953FD2" w14:textId="77777777" w:rsidR="00A149B7" w:rsidRDefault="00A149B7">
                                    <w:pPr>
                                      <w:spacing w:line="240" w:lineRule="auto"/>
                                      <w:textDirection w:val="btLr"/>
                                    </w:pPr>
                                  </w:p>
                                </w:txbxContent>
                              </wps:txbx>
                              <wps:bodyPr spcFirstLastPara="1" wrap="square" lIns="91425" tIns="91425" rIns="91425" bIns="91425" anchor="ctr" anchorCtr="0">
                                <a:noAutofit/>
                              </wps:bodyPr>
                            </wps:wsp>
                            <wps:wsp>
                              <wps:cNvPr id="18" name="Rectangle 18"/>
                              <wps:cNvSpPr/>
                              <wps:spPr>
                                <a:xfrm>
                                  <a:off x="4566382" y="399580"/>
                                  <a:ext cx="977984" cy="381939"/>
                                </a:xfrm>
                                <a:prstGeom prst="rect">
                                  <a:avLst/>
                                </a:prstGeom>
                                <a:noFill/>
                                <a:ln>
                                  <a:noFill/>
                                </a:ln>
                              </wps:spPr>
                              <wps:txbx>
                                <w:txbxContent>
                                  <w:p w14:paraId="4DB21A80" w14:textId="77777777" w:rsidR="00A149B7" w:rsidRDefault="00FC4450">
                                    <w:pPr>
                                      <w:spacing w:line="215" w:lineRule="auto"/>
                                      <w:jc w:val="center"/>
                                      <w:textDirection w:val="btLr"/>
                                    </w:pPr>
                                    <w:r>
                                      <w:rPr>
                                        <w:rFonts w:ascii="Gill Sans" w:eastAsia="Gill Sans" w:hAnsi="Gill Sans" w:cs="Gill Sans"/>
                                        <w:color w:val="000000"/>
                                        <w:sz w:val="16"/>
                                      </w:rPr>
                                      <w:t>Step 5: results reported to user</w:t>
                                    </w:r>
                                  </w:p>
                                </w:txbxContent>
                              </wps:txbx>
                              <wps:bodyPr spcFirstLastPara="1" wrap="square" lIns="30475" tIns="30475" rIns="30475" bIns="30475" anchor="ctr" anchorCtr="0">
                                <a:noAutofit/>
                              </wps:bodyPr>
                            </wps:wsp>
                          </wpg:grp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867400" cy="1181100"/>
                <wp:effectExtent b="0" l="0" r="0" t="0"/>
                <wp:docPr id="1"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5867400" cy="1181100"/>
                        </a:xfrm>
                        <a:prstGeom prst="rect"/>
                        <a:ln/>
                      </pic:spPr>
                    </pic:pic>
                  </a:graphicData>
                </a:graphic>
              </wp:inline>
            </w:drawing>
          </mc:Fallback>
        </mc:AlternateContent>
      </w:r>
    </w:p>
    <w:p w14:paraId="4417803A" w14:textId="77777777" w:rsidR="00A149B7" w:rsidRDefault="00FC4450">
      <w:pPr>
        <w:widowControl w:val="0"/>
        <w:spacing w:after="200"/>
        <w:rPr>
          <w:rFonts w:ascii="Calibri" w:eastAsia="Calibri" w:hAnsi="Calibri" w:cs="Calibri"/>
          <w:sz w:val="20"/>
          <w:szCs w:val="20"/>
        </w:rPr>
      </w:pPr>
      <w:r>
        <w:rPr>
          <w:rFonts w:ascii="Calibri" w:eastAsia="Calibri" w:hAnsi="Calibri" w:cs="Calibri"/>
          <w:sz w:val="20"/>
          <w:szCs w:val="20"/>
        </w:rPr>
        <w:t xml:space="preserve">Note that the individual steps shown above </w:t>
      </w:r>
      <w:r>
        <w:rPr>
          <w:rFonts w:ascii="Calibri" w:eastAsia="Calibri" w:hAnsi="Calibri" w:cs="Calibri"/>
          <w:sz w:val="20"/>
          <w:szCs w:val="20"/>
        </w:rPr>
        <w:t>may reflect multiple operations. For example in step 2, energy data is converted to emissions results using factors that are specific to the different energy sources – including grid electricity, renewable energy, and onsite fuel combustion – different fac</w:t>
      </w:r>
      <w:r>
        <w:rPr>
          <w:rFonts w:ascii="Calibri" w:eastAsia="Calibri" w:hAnsi="Calibri" w:cs="Calibri"/>
          <w:sz w:val="20"/>
          <w:szCs w:val="20"/>
        </w:rPr>
        <w:t xml:space="preserve">tors are used to evaluate </w:t>
      </w:r>
      <w:r>
        <w:rPr>
          <w:rFonts w:ascii="Calibri" w:eastAsia="Calibri" w:hAnsi="Calibri" w:cs="Calibri"/>
          <w:i/>
          <w:sz w:val="20"/>
          <w:szCs w:val="20"/>
        </w:rPr>
        <w:t>total energy consumption</w:t>
      </w:r>
      <w:r>
        <w:rPr>
          <w:rFonts w:ascii="Calibri" w:eastAsia="Calibri" w:hAnsi="Calibri" w:cs="Calibri"/>
          <w:sz w:val="20"/>
          <w:szCs w:val="20"/>
        </w:rPr>
        <w:t xml:space="preserve"> (average emissions) versus </w:t>
      </w:r>
      <w:r>
        <w:rPr>
          <w:rFonts w:ascii="Calibri" w:eastAsia="Calibri" w:hAnsi="Calibri" w:cs="Calibri"/>
          <w:i/>
          <w:sz w:val="20"/>
          <w:szCs w:val="20"/>
        </w:rPr>
        <w:t xml:space="preserve">change in energy consumption </w:t>
      </w:r>
      <w:r>
        <w:rPr>
          <w:rFonts w:ascii="Calibri" w:eastAsia="Calibri" w:hAnsi="Calibri" w:cs="Calibri"/>
          <w:sz w:val="20"/>
          <w:szCs w:val="20"/>
        </w:rPr>
        <w:t xml:space="preserve">(marginal emissions). Converting emissions to endpoint incidences in step 3 involves the use of a </w:t>
      </w:r>
      <w:r>
        <w:rPr>
          <w:rFonts w:ascii="Calibri" w:eastAsia="Calibri" w:hAnsi="Calibri" w:cs="Calibri"/>
          <w:i/>
          <w:sz w:val="20"/>
          <w:szCs w:val="20"/>
        </w:rPr>
        <w:t>transport model</w:t>
      </w:r>
      <w:r>
        <w:rPr>
          <w:rFonts w:ascii="Calibri" w:eastAsia="Calibri" w:hAnsi="Calibri" w:cs="Calibri"/>
          <w:sz w:val="20"/>
          <w:szCs w:val="20"/>
        </w:rPr>
        <w:t xml:space="preserve"> to predict where emissions from spe</w:t>
      </w:r>
      <w:r>
        <w:rPr>
          <w:rFonts w:ascii="Calibri" w:eastAsia="Calibri" w:hAnsi="Calibri" w:cs="Calibri"/>
          <w:sz w:val="20"/>
          <w:szCs w:val="20"/>
        </w:rPr>
        <w:t xml:space="preserve">cific power plants in the region of interest will end up, illustrating where they will end up impacting health and welfare.  </w:t>
      </w:r>
    </w:p>
    <w:p w14:paraId="549EFF12" w14:textId="77777777" w:rsidR="00A149B7" w:rsidRDefault="00FC4450">
      <w:pPr>
        <w:widowControl w:val="0"/>
        <w:spacing w:after="200"/>
        <w:rPr>
          <w:rFonts w:ascii="Calibri" w:eastAsia="Calibri" w:hAnsi="Calibri" w:cs="Calibri"/>
          <w:highlight w:val="yellow"/>
        </w:rPr>
      </w:pPr>
      <w:r>
        <w:rPr>
          <w:rFonts w:ascii="Calibri" w:eastAsia="Calibri" w:hAnsi="Calibri" w:cs="Calibri"/>
          <w:highlight w:val="yellow"/>
        </w:rPr>
        <w:t>[Insert your Total / electricity / delivered fuels health impact results]</w:t>
      </w:r>
    </w:p>
    <w:p w14:paraId="72AC32BF" w14:textId="77777777" w:rsidR="00A149B7" w:rsidRDefault="00FC4450">
      <w:pPr>
        <w:widowControl w:val="0"/>
        <w:spacing w:after="200"/>
        <w:rPr>
          <w:rFonts w:ascii="Calibri" w:eastAsia="Calibri" w:hAnsi="Calibri" w:cs="Calibri"/>
          <w:highlight w:val="yellow"/>
        </w:rPr>
      </w:pPr>
      <w:r>
        <w:rPr>
          <w:rFonts w:ascii="Calibri" w:eastAsia="Calibri" w:hAnsi="Calibri" w:cs="Calibri"/>
          <w:highlight w:val="yellow"/>
        </w:rPr>
        <w:t>Based on the following data from [HOSPITAL]</w:t>
      </w:r>
    </w:p>
    <w:p w14:paraId="5323C817" w14:textId="77777777" w:rsidR="00A149B7" w:rsidRDefault="00FC4450">
      <w:pPr>
        <w:widowControl w:val="0"/>
        <w:spacing w:before="80"/>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highlight w:val="yellow"/>
        </w:rPr>
        <w:t>XXX kWh</w:t>
      </w:r>
      <w:r>
        <w:rPr>
          <w:rFonts w:ascii="Calibri" w:eastAsia="Calibri" w:hAnsi="Calibri" w:cs="Calibri"/>
          <w:sz w:val="24"/>
          <w:szCs w:val="24"/>
        </w:rPr>
        <w:t xml:space="preserve"> ele</w:t>
      </w:r>
      <w:r>
        <w:rPr>
          <w:rFonts w:ascii="Calibri" w:eastAsia="Calibri" w:hAnsi="Calibri" w:cs="Calibri"/>
          <w:sz w:val="24"/>
          <w:szCs w:val="24"/>
        </w:rPr>
        <w:t xml:space="preserve">ctricity </w:t>
      </w:r>
    </w:p>
    <w:p w14:paraId="1EBFFA31" w14:textId="77777777" w:rsidR="00A149B7" w:rsidRDefault="00FC4450">
      <w:pPr>
        <w:widowControl w:val="0"/>
        <w:spacing w:before="80"/>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highlight w:val="yellow"/>
        </w:rPr>
        <w:t xml:space="preserve">XXX </w:t>
      </w:r>
      <w:proofErr w:type="spellStart"/>
      <w:r>
        <w:rPr>
          <w:rFonts w:ascii="Calibri" w:eastAsia="Calibri" w:hAnsi="Calibri" w:cs="Calibri"/>
          <w:sz w:val="24"/>
          <w:szCs w:val="24"/>
          <w:highlight w:val="yellow"/>
        </w:rPr>
        <w:t>mmBtu</w:t>
      </w:r>
      <w:proofErr w:type="spellEnd"/>
      <w:r>
        <w:rPr>
          <w:rFonts w:ascii="Calibri" w:eastAsia="Calibri" w:hAnsi="Calibri" w:cs="Calibri"/>
          <w:sz w:val="24"/>
          <w:szCs w:val="24"/>
        </w:rPr>
        <w:t xml:space="preserve"> natural gas</w:t>
      </w:r>
    </w:p>
    <w:p w14:paraId="45EDE97D" w14:textId="77777777" w:rsidR="00A149B7" w:rsidRDefault="00A149B7">
      <w:pPr>
        <w:widowControl w:val="0"/>
        <w:spacing w:before="80"/>
        <w:rPr>
          <w:rFonts w:ascii="Calibri" w:eastAsia="Calibri" w:hAnsi="Calibri" w:cs="Calibri"/>
          <w:sz w:val="24"/>
          <w:szCs w:val="24"/>
        </w:rPr>
      </w:pPr>
    </w:p>
    <w:p w14:paraId="53234962" w14:textId="77777777" w:rsidR="00A149B7" w:rsidRDefault="00FC4450">
      <w:pPr>
        <w:widowControl w:val="0"/>
        <w:spacing w:before="80"/>
        <w:rPr>
          <w:rFonts w:ascii="Calibri" w:eastAsia="Calibri" w:hAnsi="Calibri" w:cs="Calibri"/>
          <w:sz w:val="24"/>
          <w:szCs w:val="24"/>
        </w:rPr>
      </w:pPr>
      <w:r>
        <w:rPr>
          <w:rFonts w:ascii="Calibri" w:eastAsia="Calibri" w:hAnsi="Calibri" w:cs="Calibri"/>
          <w:sz w:val="24"/>
          <w:szCs w:val="24"/>
        </w:rPr>
        <w:t xml:space="preserve">A full circle (●) indicates that the value is included in the total estimated </w:t>
      </w:r>
      <w:proofErr w:type="gramStart"/>
      <w:r>
        <w:rPr>
          <w:rFonts w:ascii="Calibri" w:eastAsia="Calibri" w:hAnsi="Calibri" w:cs="Calibri"/>
          <w:sz w:val="24"/>
          <w:szCs w:val="24"/>
        </w:rPr>
        <w:t>value, but</w:t>
      </w:r>
      <w:proofErr w:type="gramEnd"/>
      <w:r>
        <w:rPr>
          <w:rFonts w:ascii="Calibri" w:eastAsia="Calibri" w:hAnsi="Calibri" w:cs="Calibri"/>
          <w:sz w:val="24"/>
          <w:szCs w:val="24"/>
        </w:rPr>
        <w:t xml:space="preserve"> cannot be separately determined; an empty circle (◌) indicates that the value has not been included. </w:t>
      </w:r>
    </w:p>
    <w:p w14:paraId="0BC320CD" w14:textId="2BA35B22" w:rsidR="00A149B7" w:rsidRDefault="00A149B7">
      <w:pPr>
        <w:rPr>
          <w:rFonts w:ascii="Calibri" w:eastAsia="Calibri" w:hAnsi="Calibri" w:cs="Calibri"/>
        </w:rPr>
      </w:pPr>
    </w:p>
    <w:p w14:paraId="34EBF2BB" w14:textId="5ACBBF6E" w:rsidR="00FC4450" w:rsidRPr="00FC4450" w:rsidRDefault="00FC4450">
      <w:pPr>
        <w:rPr>
          <w:rFonts w:ascii="Calibri" w:eastAsia="Calibri" w:hAnsi="Calibri" w:cs="Calibri"/>
          <w:sz w:val="28"/>
          <w:szCs w:val="28"/>
        </w:rPr>
      </w:pPr>
      <w:r w:rsidRPr="00FC4450">
        <w:rPr>
          <w:rFonts w:ascii="Calibri" w:eastAsia="Calibri" w:hAnsi="Calibri" w:cs="Calibri"/>
          <w:sz w:val="24"/>
          <w:szCs w:val="24"/>
        </w:rPr>
        <w:t>It is true that due to dispersal patterns, social determinants of health and other environmental health factors, health impacts and costs of emissions cannot typically be attributed to a given location and population. That said, the Hippocratic Oath has no geographical limit, no exemption because those harmed might be beyond immediate sight or identified individuals.</w:t>
      </w:r>
    </w:p>
    <w:p w14:paraId="57CE1709" w14:textId="77777777" w:rsidR="00A149B7" w:rsidRDefault="00FC4450">
      <w:pPr>
        <w:widowControl w:val="0"/>
        <w:spacing w:line="240" w:lineRule="auto"/>
        <w:rPr>
          <w:sz w:val="28"/>
          <w:szCs w:val="28"/>
          <w:highlight w:val="yellow"/>
        </w:rPr>
      </w:pPr>
      <w:r>
        <w:rPr>
          <w:sz w:val="28"/>
          <w:szCs w:val="28"/>
          <w:highlight w:val="yellow"/>
        </w:rPr>
        <w:lastRenderedPageBreak/>
        <w:t>Update image with your results</w:t>
      </w:r>
    </w:p>
    <w:p w14:paraId="1856A7D0" w14:textId="77777777" w:rsidR="00A149B7" w:rsidRDefault="00A149B7">
      <w:pPr>
        <w:widowControl w:val="0"/>
        <w:spacing w:line="240" w:lineRule="auto"/>
        <w:rPr>
          <w:sz w:val="28"/>
          <w:szCs w:val="28"/>
          <w:highlight w:val="yellow"/>
        </w:rPr>
      </w:pPr>
    </w:p>
    <w:p w14:paraId="4F708D7C" w14:textId="77777777" w:rsidR="00A149B7" w:rsidRDefault="00FC4450">
      <w:pPr>
        <w:jc w:val="center"/>
        <w:rPr>
          <w:rFonts w:ascii="Calibri" w:eastAsia="Calibri" w:hAnsi="Calibri" w:cs="Calibri"/>
        </w:rPr>
      </w:pPr>
      <w:r>
        <w:rPr>
          <w:rFonts w:ascii="Calibri" w:eastAsia="Calibri" w:hAnsi="Calibri" w:cs="Calibri"/>
          <w:i/>
          <w:noProof/>
        </w:rPr>
        <w:drawing>
          <wp:inline distT="114300" distB="114300" distL="114300" distR="114300" wp14:anchorId="11752BAD" wp14:editId="57193F3F">
            <wp:extent cx="5943600" cy="3505200"/>
            <wp:effectExtent l="0" t="0" r="0" b="0"/>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5943600" cy="3505200"/>
                    </a:xfrm>
                    <a:prstGeom prst="rect">
                      <a:avLst/>
                    </a:prstGeom>
                    <a:ln/>
                  </pic:spPr>
                </pic:pic>
              </a:graphicData>
            </a:graphic>
          </wp:inline>
        </w:drawing>
      </w:r>
    </w:p>
    <w:p w14:paraId="2BF0AD5B" w14:textId="77777777" w:rsidR="00A149B7" w:rsidRDefault="00A149B7">
      <w:pPr>
        <w:rPr>
          <w:rFonts w:ascii="Calibri" w:eastAsia="Calibri" w:hAnsi="Calibri" w:cs="Calibri"/>
        </w:rPr>
      </w:pPr>
    </w:p>
    <w:p w14:paraId="4B3757B2" w14:textId="77777777" w:rsidR="00A149B7" w:rsidRDefault="00FC4450">
      <w:pPr>
        <w:rPr>
          <w:rFonts w:ascii="Calibri" w:eastAsia="Calibri" w:hAnsi="Calibri" w:cs="Calibri"/>
          <w:color w:val="CC4125"/>
        </w:rPr>
      </w:pPr>
      <w:r>
        <w:rPr>
          <w:rFonts w:ascii="Calibri" w:eastAsia="Calibri" w:hAnsi="Calibri" w:cs="Calibri"/>
          <w:color w:val="CC4125"/>
        </w:rPr>
        <w:t>Instructions for embedding the table above:</w:t>
      </w:r>
    </w:p>
    <w:p w14:paraId="252C2720" w14:textId="77777777" w:rsidR="00A149B7" w:rsidRDefault="00A149B7">
      <w:pPr>
        <w:rPr>
          <w:rFonts w:ascii="Calibri" w:eastAsia="Calibri" w:hAnsi="Calibri" w:cs="Calibri"/>
          <w:color w:val="CC4125"/>
        </w:rPr>
      </w:pPr>
    </w:p>
    <w:p w14:paraId="29E5B9D6" w14:textId="77777777" w:rsidR="00A149B7" w:rsidRDefault="00FC4450">
      <w:pPr>
        <w:widowControl w:val="0"/>
        <w:numPr>
          <w:ilvl w:val="0"/>
          <w:numId w:val="2"/>
        </w:numPr>
        <w:spacing w:line="240" w:lineRule="auto"/>
        <w:rPr>
          <w:rFonts w:ascii="Calibri" w:eastAsia="Calibri" w:hAnsi="Calibri" w:cs="Calibri"/>
          <w:color w:val="CC4125"/>
        </w:rPr>
      </w:pPr>
      <w:r>
        <w:rPr>
          <w:rFonts w:ascii="Calibri" w:eastAsia="Calibri" w:hAnsi="Calibri" w:cs="Calibri"/>
          <w:color w:val="CC4125"/>
        </w:rPr>
        <w:t xml:space="preserve">From the web version of the Calculator, choose the “download image” button to download a PNG format. Save the file in a folder you can easily find later. In this Word file, choose insert-&gt;picture, then browse to the folder location where you saved the PNG </w:t>
      </w:r>
      <w:r>
        <w:rPr>
          <w:rFonts w:ascii="Calibri" w:eastAsia="Calibri" w:hAnsi="Calibri" w:cs="Calibri"/>
          <w:color w:val="CC4125"/>
        </w:rPr>
        <w:t>image and select the file to insert.</w:t>
      </w:r>
    </w:p>
    <w:p w14:paraId="6D171DF5" w14:textId="77777777" w:rsidR="00A149B7" w:rsidRDefault="00FC4450">
      <w:pPr>
        <w:widowControl w:val="0"/>
        <w:numPr>
          <w:ilvl w:val="0"/>
          <w:numId w:val="2"/>
        </w:numPr>
        <w:spacing w:line="240" w:lineRule="auto"/>
        <w:rPr>
          <w:rFonts w:ascii="Calibri" w:eastAsia="Calibri" w:hAnsi="Calibri" w:cs="Calibri"/>
          <w:color w:val="CC4125"/>
        </w:rPr>
      </w:pPr>
      <w:r>
        <w:rPr>
          <w:rFonts w:ascii="Calibri" w:eastAsia="Calibri" w:hAnsi="Calibri" w:cs="Calibri"/>
          <w:color w:val="CC4125"/>
        </w:rPr>
        <w:t xml:space="preserve">In the Excel version of the Calculator, drag your cursor over all the table rows and columns you want to copy. Choose “copy” from the top banner menu or by right-clicking the selection to get a menu of options. In this </w:t>
      </w:r>
      <w:r>
        <w:rPr>
          <w:rFonts w:ascii="Calibri" w:eastAsia="Calibri" w:hAnsi="Calibri" w:cs="Calibri"/>
          <w:color w:val="CC4125"/>
        </w:rPr>
        <w:t xml:space="preserve">Word file, choose “paste” or “paste special.” If you choose “paste special,” you will be able to paste as a bitmap image, which will adopt the formatting already built into Word or PowerPoint rather than introducing new formatting from Excel. You can also </w:t>
      </w:r>
      <w:r>
        <w:rPr>
          <w:rFonts w:ascii="Calibri" w:eastAsia="Calibri" w:hAnsi="Calibri" w:cs="Calibri"/>
          <w:color w:val="CC4125"/>
        </w:rPr>
        <w:t>paste the data as an editable table, which would allow you to format the table and edit its contents.</w:t>
      </w:r>
    </w:p>
    <w:p w14:paraId="2AE52A54" w14:textId="77777777" w:rsidR="00A149B7" w:rsidRDefault="00A149B7">
      <w:pPr>
        <w:rPr>
          <w:rFonts w:ascii="Calibri" w:eastAsia="Calibri" w:hAnsi="Calibri" w:cs="Calibri"/>
          <w:color w:val="CC4125"/>
        </w:rPr>
      </w:pPr>
    </w:p>
    <w:p w14:paraId="3495A8C4" w14:textId="77777777" w:rsidR="00A149B7" w:rsidRDefault="00A149B7">
      <w:pPr>
        <w:rPr>
          <w:rFonts w:ascii="Calibri" w:eastAsia="Calibri" w:hAnsi="Calibri" w:cs="Calibri"/>
          <w:highlight w:val="yellow"/>
        </w:rPr>
      </w:pPr>
    </w:p>
    <w:p w14:paraId="6C782F48" w14:textId="77777777" w:rsidR="00A149B7" w:rsidRDefault="00FC4450">
      <w:pPr>
        <w:rPr>
          <w:rFonts w:ascii="Calibri" w:eastAsia="Calibri" w:hAnsi="Calibri" w:cs="Calibri"/>
          <w:highlight w:val="yellow"/>
        </w:rPr>
      </w:pPr>
      <w:r>
        <w:rPr>
          <w:rFonts w:ascii="Calibri" w:eastAsia="Calibri" w:hAnsi="Calibri" w:cs="Calibri"/>
          <w:highlight w:val="yellow"/>
        </w:rPr>
        <w:t>[Insert your emissions results]</w:t>
      </w:r>
    </w:p>
    <w:p w14:paraId="59BAD351" w14:textId="77777777" w:rsidR="00A149B7" w:rsidRDefault="00FC4450">
      <w:pPr>
        <w:rPr>
          <w:rFonts w:ascii="Calibri" w:eastAsia="Calibri" w:hAnsi="Calibri" w:cs="Calibri"/>
          <w:highlight w:val="yellow"/>
        </w:rPr>
      </w:pPr>
      <w:r>
        <w:rPr>
          <w:rFonts w:ascii="Calibri" w:eastAsia="Calibri" w:hAnsi="Calibri" w:cs="Calibri"/>
          <w:highlight w:val="yellow"/>
        </w:rPr>
        <w:t xml:space="preserve">If you’re going to include this, we recommend plugging emissions into the </w:t>
      </w:r>
      <w:hyperlink r:id="rId15">
        <w:r>
          <w:rPr>
            <w:rFonts w:ascii="Calibri" w:eastAsia="Calibri" w:hAnsi="Calibri" w:cs="Calibri"/>
            <w:color w:val="1155CC"/>
            <w:highlight w:val="yellow"/>
            <w:u w:val="single"/>
          </w:rPr>
          <w:t>EPA’s Greenhouse Gas Equivalencies Calculator</w:t>
        </w:r>
      </w:hyperlink>
    </w:p>
    <w:p w14:paraId="6F49B57F" w14:textId="77777777" w:rsidR="00A149B7" w:rsidRDefault="00A149B7">
      <w:pPr>
        <w:widowControl w:val="0"/>
        <w:spacing w:before="80"/>
        <w:jc w:val="center"/>
        <w:rPr>
          <w:rFonts w:ascii="Calibri" w:eastAsia="Calibri" w:hAnsi="Calibri" w:cs="Calibri"/>
          <w:sz w:val="24"/>
          <w:szCs w:val="24"/>
        </w:rPr>
      </w:pPr>
    </w:p>
    <w:p w14:paraId="79C4B8A0" w14:textId="77777777" w:rsidR="00A149B7" w:rsidRDefault="00A149B7">
      <w:pPr>
        <w:rPr>
          <w:rFonts w:ascii="Calibri" w:eastAsia="Calibri" w:hAnsi="Calibri" w:cs="Calibri"/>
          <w:highlight w:val="yellow"/>
        </w:rPr>
      </w:pPr>
    </w:p>
    <w:p w14:paraId="0AEBDD1F" w14:textId="77777777" w:rsidR="00A149B7" w:rsidRDefault="00FC4450">
      <w:pPr>
        <w:rPr>
          <w:rFonts w:ascii="Calibri" w:eastAsia="Calibri" w:hAnsi="Calibri" w:cs="Calibri"/>
          <w:highlight w:val="yellow"/>
        </w:rPr>
      </w:pPr>
      <w:r>
        <w:rPr>
          <w:noProof/>
        </w:rPr>
        <w:drawing>
          <wp:anchor distT="114300" distB="114300" distL="114300" distR="114300" simplePos="0" relativeHeight="251658240" behindDoc="0" locked="0" layoutInCell="1" hidden="0" allowOverlap="1" wp14:anchorId="7E9C44F3" wp14:editId="4C0E2227">
            <wp:simplePos x="0" y="0"/>
            <wp:positionH relativeFrom="column">
              <wp:posOffset>6343650</wp:posOffset>
            </wp:positionH>
            <wp:positionV relativeFrom="paragraph">
              <wp:posOffset>200025</wp:posOffset>
            </wp:positionV>
            <wp:extent cx="1730924" cy="3167063"/>
            <wp:effectExtent l="0" t="0" r="0" b="0"/>
            <wp:wrapSquare wrapText="bothSides" distT="114300" distB="114300" distL="114300" distR="11430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1730924" cy="3167063"/>
                    </a:xfrm>
                    <a:prstGeom prst="rect">
                      <a:avLst/>
                    </a:prstGeom>
                    <a:ln/>
                  </pic:spPr>
                </pic:pic>
              </a:graphicData>
            </a:graphic>
          </wp:anchor>
        </w:drawing>
      </w:r>
    </w:p>
    <w:p w14:paraId="158E9FA4" w14:textId="77777777" w:rsidR="00A149B7" w:rsidRDefault="00FC4450">
      <w:pPr>
        <w:rPr>
          <w:rFonts w:ascii="Calibri" w:eastAsia="Calibri" w:hAnsi="Calibri" w:cs="Calibri"/>
        </w:rPr>
      </w:pPr>
      <w:r>
        <w:rPr>
          <w:rFonts w:ascii="Calibri" w:eastAsia="Calibri" w:hAnsi="Calibri" w:cs="Calibri"/>
          <w:noProof/>
        </w:rPr>
        <w:drawing>
          <wp:inline distT="114300" distB="114300" distL="114300" distR="114300" wp14:anchorId="55410004" wp14:editId="39AA8F17">
            <wp:extent cx="5544782" cy="2928938"/>
            <wp:effectExtent l="0" t="0" r="0" b="0"/>
            <wp:docPr id="2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5544782" cy="2928938"/>
                    </a:xfrm>
                    <a:prstGeom prst="rect">
                      <a:avLst/>
                    </a:prstGeom>
                    <a:ln/>
                  </pic:spPr>
                </pic:pic>
              </a:graphicData>
            </a:graphic>
          </wp:inline>
        </w:drawing>
      </w:r>
    </w:p>
    <w:p w14:paraId="1B8F24F5" w14:textId="77777777" w:rsidR="00A149B7" w:rsidRDefault="00A149B7">
      <w:pPr>
        <w:rPr>
          <w:rFonts w:ascii="Calibri" w:eastAsia="Calibri" w:hAnsi="Calibri" w:cs="Calibri"/>
        </w:rPr>
      </w:pPr>
    </w:p>
    <w:p w14:paraId="5D897E54" w14:textId="77777777" w:rsidR="00A149B7" w:rsidRDefault="00A149B7">
      <w:pPr>
        <w:rPr>
          <w:rFonts w:ascii="Calibri" w:eastAsia="Calibri" w:hAnsi="Calibri" w:cs="Calibri"/>
        </w:rPr>
      </w:pPr>
    </w:p>
    <w:sectPr w:rsidR="00A149B7">
      <w:pgSz w:w="1584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119AE"/>
    <w:multiLevelType w:val="multilevel"/>
    <w:tmpl w:val="CCB84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585887"/>
    <w:multiLevelType w:val="multilevel"/>
    <w:tmpl w:val="FB1AB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16660E"/>
    <w:multiLevelType w:val="multilevel"/>
    <w:tmpl w:val="CB342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9954C25"/>
    <w:multiLevelType w:val="multilevel"/>
    <w:tmpl w:val="BB1C9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9B7"/>
    <w:rsid w:val="002E5AEE"/>
    <w:rsid w:val="00A149B7"/>
    <w:rsid w:val="00FC4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E940D"/>
  <w15:docId w15:val="{8C94C4ED-0696-4D19-A56A-966EAE314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wpsr.org/co-benefits"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nergystar.gov/ia/partners/publications/pubdocs/healthcare.pdf"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www.eia.gov/consumption/commercial/data/2012/c&amp;e/cfm/c13.php" TargetMode="External"/><Relationship Id="rId11" Type="http://schemas.openxmlformats.org/officeDocument/2006/relationships/hyperlink" Target="https://practicegreenhealth.org/" TargetMode="External"/><Relationship Id="rId5" Type="http://schemas.openxmlformats.org/officeDocument/2006/relationships/hyperlink" Target="http://eia.gov/consumption/commercial/reports/2012/energyusage/" TargetMode="External"/><Relationship Id="rId15" Type="http://schemas.openxmlformats.org/officeDocument/2006/relationships/hyperlink" Target="https://www.epa.gov/energy/greenhouse-gas-equivalencies-calculator" TargetMode="External"/><Relationship Id="rId10" Type="http://schemas.openxmlformats.org/officeDocument/2006/relationships/hyperlink" Target="https://noharm-uscanada.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alculatehealthimpact.org/"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860</Words>
  <Characters>4904</Characters>
  <Application>Microsoft Office Word</Application>
  <DocSecurity>0</DocSecurity>
  <Lines>40</Lines>
  <Paragraphs>11</Paragraphs>
  <ScaleCrop>false</ScaleCrop>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Marcelle Lipke</cp:lastModifiedBy>
  <cp:revision>3</cp:revision>
  <dcterms:created xsi:type="dcterms:W3CDTF">2020-01-15T14:16:00Z</dcterms:created>
  <dcterms:modified xsi:type="dcterms:W3CDTF">2020-01-15T14:18:00Z</dcterms:modified>
</cp:coreProperties>
</file>